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eastAsia" w:ascii="黑体" w:hAnsi="黑体" w:eastAsia="黑体" w:cs="黑体"/>
          <w:sz w:val="36"/>
          <w:szCs w:val="36"/>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 HYPERLINK "http://www.xinxiang.jcy.gov.cn/jwgk/flfg/201705/t20170531_1998894.shtml" \t "http://www.xinxiang.jcy.gov.cn/jwgk/flfg/_blank" </w:instrText>
      </w:r>
      <w:r>
        <w:rPr>
          <w:rFonts w:hint="eastAsia" w:ascii="黑体" w:hAnsi="黑体" w:eastAsia="黑体" w:cs="黑体"/>
          <w:sz w:val="36"/>
          <w:szCs w:val="36"/>
        </w:rPr>
        <w:fldChar w:fldCharType="separate"/>
      </w:r>
      <w:r>
        <w:rPr>
          <w:rStyle w:val="5"/>
          <w:rFonts w:hint="eastAsia" w:ascii="黑体" w:hAnsi="黑体" w:eastAsia="黑体" w:cs="黑体"/>
          <w:sz w:val="36"/>
          <w:szCs w:val="36"/>
        </w:rPr>
        <w:t>最高人民法院关于适用</w:t>
      </w:r>
    </w:p>
    <w:p>
      <w:pPr>
        <w:jc w:val="center"/>
        <w:rPr>
          <w:rFonts w:hint="eastAsia" w:ascii="黑体" w:hAnsi="黑体" w:eastAsia="黑体" w:cs="黑体"/>
          <w:sz w:val="36"/>
          <w:szCs w:val="36"/>
        </w:rPr>
      </w:pPr>
      <w:r>
        <w:rPr>
          <w:rStyle w:val="5"/>
          <w:rFonts w:hint="eastAsia" w:ascii="黑体" w:hAnsi="黑体" w:eastAsia="黑体" w:cs="黑体"/>
          <w:sz w:val="36"/>
          <w:szCs w:val="36"/>
        </w:rPr>
        <w:t>《中华人民共和国合同法》若干问题的解释(一)</w:t>
      </w:r>
      <w:r>
        <w:rPr>
          <w:rFonts w:hint="eastAsia" w:ascii="黑体" w:hAnsi="黑体" w:eastAsia="黑体" w:cs="黑体"/>
          <w:sz w:val="36"/>
          <w:szCs w:val="36"/>
        </w:rPr>
        <w:fldChar w:fldCharType="end"/>
      </w:r>
    </w:p>
    <w:p>
      <w:pPr>
        <w:pStyle w:val="2"/>
        <w:keepNext w:val="0"/>
        <w:keepLines w:val="0"/>
        <w:widowControl/>
        <w:suppressLineNumbers w:val="0"/>
        <w:spacing w:line="360" w:lineRule="atLeast"/>
        <w:jc w:val="center"/>
        <w:rPr>
          <w:rFonts w:hint="eastAsia" w:ascii="宋体" w:hAnsi="宋体" w:eastAsia="宋体" w:cs="宋体"/>
          <w:color w:val="000000"/>
          <w:sz w:val="21"/>
          <w:szCs w:val="21"/>
        </w:rPr>
      </w:pPr>
    </w:p>
    <w:p>
      <w:pPr>
        <w:pStyle w:val="2"/>
        <w:keepNext w:val="0"/>
        <w:keepLines w:val="0"/>
        <w:widowControl/>
        <w:suppressLineNumbers w:val="0"/>
        <w:spacing w:line="360" w:lineRule="atLeas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中华人民共和国最高人民法院公告</w:t>
      </w:r>
    </w:p>
    <w:p>
      <w:pPr>
        <w:pStyle w:val="2"/>
        <w:keepNext w:val="0"/>
        <w:keepLines w:val="0"/>
        <w:widowControl/>
        <w:suppressLineNumbers w:val="0"/>
        <w:spacing w:line="360" w:lineRule="atLeast"/>
        <w:ind w:firstLine="640" w:firstLineChars="200"/>
        <w:jc w:val="both"/>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最高人民法院《关于适用〈中华人民共和国合同法〉若干问题的解释（二）》已于2009年2月9日由最高人民法院审判委员会第1462次会议通过，现予公布，自2009年5月13日起施行。</w:t>
      </w:r>
    </w:p>
    <w:p>
      <w:pPr>
        <w:keepNext w:val="0"/>
        <w:keepLines w:val="0"/>
        <w:widowControl/>
        <w:suppressLineNumbers w:val="0"/>
        <w:spacing w:before="0" w:beforeAutospacing="1" w:after="0" w:afterAutospacing="1" w:line="360" w:lineRule="atLeast"/>
        <w:ind w:left="0" w:right="0"/>
        <w:jc w:val="righ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w:t>
      </w:r>
    </w:p>
    <w:p>
      <w:pPr>
        <w:keepNext w:val="0"/>
        <w:keepLines w:val="0"/>
        <w:widowControl/>
        <w:suppressLineNumbers w:val="0"/>
        <w:spacing w:before="0" w:beforeAutospacing="1" w:after="0" w:afterAutospacing="1" w:line="360" w:lineRule="atLeast"/>
        <w:ind w:left="0" w:right="0"/>
        <w:jc w:val="righ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二○○九年四月二十四日</w:t>
      </w:r>
    </w:p>
    <w:p>
      <w:pPr>
        <w:keepNext w:val="0"/>
        <w:keepLines w:val="0"/>
        <w:widowControl/>
        <w:suppressLineNumbers w:val="0"/>
        <w:spacing w:before="0" w:beforeAutospacing="1" w:after="0" w:afterAutospacing="1" w:line="360" w:lineRule="atLeast"/>
        <w:ind w:left="0" w:right="0"/>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before="0" w:beforeAutospacing="1" w:after="0" w:afterAutospacing="1" w:line="360" w:lineRule="atLeast"/>
        <w:ind w:left="0" w:right="0"/>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before="0" w:beforeAutospacing="1" w:after="0" w:afterAutospacing="1" w:line="360" w:lineRule="atLeast"/>
        <w:ind w:left="0" w:right="0"/>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before="0" w:beforeAutospacing="1" w:after="0" w:afterAutospacing="1" w:line="360" w:lineRule="atLeast"/>
        <w:ind w:left="0" w:right="0"/>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before="0" w:beforeAutospacing="1" w:after="0" w:afterAutospacing="1" w:line="360" w:lineRule="atLeast"/>
        <w:ind w:left="0" w:right="0"/>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before="0" w:beforeAutospacing="1" w:after="0" w:afterAutospacing="1" w:line="360" w:lineRule="atLeast"/>
        <w:ind w:left="0" w:right="0"/>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before="0" w:beforeAutospacing="1" w:after="0" w:afterAutospacing="1" w:line="360" w:lineRule="atLeast"/>
        <w:ind w:left="0" w:right="0"/>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before="0" w:beforeAutospacing="1" w:after="0" w:afterAutospacing="1" w:line="360" w:lineRule="atLeast"/>
        <w:ind w:left="0" w:right="0"/>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before="0" w:beforeAutospacing="1" w:after="0" w:afterAutospacing="1" w:line="360" w:lineRule="atLeast"/>
        <w:ind w:left="0" w:right="0"/>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before="0" w:beforeAutospacing="1" w:after="0" w:afterAutospacing="1" w:line="360" w:lineRule="atLeast"/>
        <w:ind w:left="0" w:right="0"/>
        <w:jc w:val="both"/>
        <w:rPr>
          <w:rFonts w:hint="eastAsia" w:ascii="宋体" w:hAnsi="宋体" w:eastAsia="宋体" w:cs="宋体"/>
          <w:color w:val="000000"/>
          <w:kern w:val="0"/>
          <w:sz w:val="21"/>
          <w:szCs w:val="21"/>
          <w:lang w:val="en-US" w:eastAsia="zh-CN" w:bidi="ar"/>
        </w:rPr>
      </w:pPr>
    </w:p>
    <w:p>
      <w:pPr>
        <w:jc w:val="center"/>
        <w:rPr>
          <w:rFonts w:hint="eastAsia"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val="en-US" w:eastAsia="zh-CN"/>
          <w14:textFill>
            <w14:solidFill>
              <w14:schemeClr w14:val="tx1"/>
            </w14:solidFill>
          </w14:textFill>
        </w:rPr>
        <w:t>最高人民法院关于适用</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6"/>
          <w:szCs w:val="36"/>
          <w:lang w:val="en-US" w:eastAsia="zh-CN"/>
          <w14:textFill>
            <w14:solidFill>
              <w14:schemeClr w14:val="tx1"/>
            </w14:solidFill>
          </w14:textFill>
        </w:rPr>
        <w:t>《中华人民共和国合同法》若干问题的解释（二）</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（法释〔2009〕5号）</w:t>
      </w:r>
    </w:p>
    <w:p>
      <w:pP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为了正确审理合同纠纷案件，根据《</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中华人民共和国合同法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》的规定，对人民法院适用</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的有关问题作出如下解释：</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一、合同的订立</w:t>
      </w:r>
      <w:bookmarkStart w:id="30" w:name="_GoBack"/>
      <w:bookmarkEnd w:id="30"/>
    </w:p>
    <w:p>
      <w:pPr>
        <w:rPr>
          <w:rFonts w:hint="eastAsia" w:ascii="仿宋" w:hAnsi="仿宋" w:eastAsia="仿宋" w:cs="仿宋"/>
          <w:color w:val="000000" w:themeColor="text1"/>
          <w:sz w:val="32"/>
          <w:szCs w:val="32"/>
          <w14:textFill>
            <w14:solidFill>
              <w14:schemeClr w14:val="tx1"/>
            </w14:solidFill>
          </w14:textFill>
        </w:rPr>
      </w:pPr>
      <w:bookmarkStart w:id="0" w:name="1"/>
      <w:r>
        <w:rPr>
          <w:rFonts w:hint="eastAsia" w:ascii="仿宋" w:hAnsi="仿宋" w:eastAsia="仿宋" w:cs="仿宋"/>
          <w:color w:val="000000" w:themeColor="text1"/>
          <w:sz w:val="32"/>
          <w:szCs w:val="32"/>
          <w:lang w:val="en-US" w:eastAsia="zh-CN"/>
          <w14:textFill>
            <w14:solidFill>
              <w14:schemeClr w14:val="tx1"/>
            </w14:solidFill>
          </w14:textFill>
        </w:rPr>
        <w:t>　　第一条</w:t>
      </w:r>
      <w:bookmarkEnd w:id="0"/>
      <w:r>
        <w:rPr>
          <w:rFonts w:hint="eastAsia" w:ascii="仿宋" w:hAnsi="仿宋" w:eastAsia="仿宋" w:cs="仿宋"/>
          <w:color w:val="000000" w:themeColor="text1"/>
          <w:sz w:val="32"/>
          <w:szCs w:val="32"/>
          <w:lang w:val="en-US" w:eastAsia="zh-CN"/>
          <w14:textFill>
            <w14:solidFill>
              <w14:schemeClr w14:val="tx1"/>
            </w14:solidFill>
          </w14:textFill>
        </w:rPr>
        <w:t>　当事人对合同是否成立存在争议，人民法院能够确定当事人名称或者姓名、标的和数量的，一般应当认定合同成立。但法律另有规定或者当事人另有约定的除外。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对合同欠缺的前款规定以外的其他内容，当事人达不成协议的，人民法院依照</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"http://www.xinxiang.jcy.gov.cn/jwgk/flfg/201705/javascript:SLC(21651,61)"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六十一条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"http://www.xinxiang.jcy.gov.cn/jwgk/flfg/201705/javascript:SLC(21651,62)"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六十二条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"http://www.xinxiang.jcy.gov.cn/jwgk/flfg/201705/javascript:SLC(21651,125)"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一百二十五条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等有关规定予以确定。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 w:name="2"/>
      <w:r>
        <w:rPr>
          <w:rFonts w:hint="eastAsia" w:ascii="仿宋" w:hAnsi="仿宋" w:eastAsia="仿宋" w:cs="仿宋"/>
          <w:color w:val="000000" w:themeColor="text1"/>
          <w:sz w:val="32"/>
          <w:szCs w:val="32"/>
          <w:lang w:val="en-US" w:eastAsia="zh-CN"/>
          <w14:textFill>
            <w14:solidFill>
              <w14:schemeClr w14:val="tx1"/>
            </w14:solidFill>
          </w14:textFill>
        </w:rPr>
        <w:t>　　第二条</w:t>
      </w:r>
      <w:bookmarkEnd w:id="1"/>
      <w:r>
        <w:rPr>
          <w:rFonts w:hint="eastAsia" w:ascii="仿宋" w:hAnsi="仿宋" w:eastAsia="仿宋" w:cs="仿宋"/>
          <w:color w:val="000000" w:themeColor="text1"/>
          <w:sz w:val="32"/>
          <w:szCs w:val="32"/>
          <w:lang w:val="en-US" w:eastAsia="zh-CN"/>
          <w14:textFill>
            <w14:solidFill>
              <w14:schemeClr w14:val="tx1"/>
            </w14:solidFill>
          </w14:textFill>
        </w:rPr>
        <w:t>　当事人未以书面形式或者口头形式订立合同，但从双方从事的民事行为能够推定双方有订立合同意愿的，人民法院可以认定是以</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十条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第一款中的“其他形式”订立的合同。但法律另有规定的除外。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 w:name="3"/>
      <w:r>
        <w:rPr>
          <w:rFonts w:hint="eastAsia" w:ascii="仿宋" w:hAnsi="仿宋" w:eastAsia="仿宋" w:cs="仿宋"/>
          <w:color w:val="000000" w:themeColor="text1"/>
          <w:sz w:val="32"/>
          <w:szCs w:val="32"/>
          <w:lang w:val="en-US" w:eastAsia="zh-CN"/>
          <w14:textFill>
            <w14:solidFill>
              <w14:schemeClr w14:val="tx1"/>
            </w14:solidFill>
          </w14:textFill>
        </w:rPr>
        <w:t>　　第三条</w:t>
      </w:r>
      <w:bookmarkEnd w:id="2"/>
      <w:r>
        <w:rPr>
          <w:rFonts w:hint="eastAsia" w:ascii="仿宋" w:hAnsi="仿宋" w:eastAsia="仿宋" w:cs="仿宋"/>
          <w:color w:val="000000" w:themeColor="text1"/>
          <w:sz w:val="32"/>
          <w:szCs w:val="32"/>
          <w:lang w:val="en-US" w:eastAsia="zh-CN"/>
          <w14:textFill>
            <w14:solidFill>
              <w14:schemeClr w14:val="tx1"/>
            </w14:solidFill>
          </w14:textFill>
        </w:rPr>
        <w:t>　悬赏人以公开方式声明对完成一定行为的人支付报酬，完成特定行为的人请求悬赏人支付报酬的，人民法院依法予以支持。但悬赏有</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"http://www.xinxiang.jcy.gov.cn/jwgk/flfg/201705/javascript:SLC(21651,52)"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五十二条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规定情形的除外。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3" w:name="4"/>
      <w:r>
        <w:rPr>
          <w:rFonts w:hint="eastAsia" w:ascii="仿宋" w:hAnsi="仿宋" w:eastAsia="仿宋" w:cs="仿宋"/>
          <w:color w:val="000000" w:themeColor="text1"/>
          <w:sz w:val="32"/>
          <w:szCs w:val="32"/>
          <w:lang w:val="en-US" w:eastAsia="zh-CN"/>
          <w14:textFill>
            <w14:solidFill>
              <w14:schemeClr w14:val="tx1"/>
            </w14:solidFill>
          </w14:textFill>
        </w:rPr>
        <w:t>　　第四条</w:t>
      </w:r>
      <w:bookmarkEnd w:id="3"/>
      <w:r>
        <w:rPr>
          <w:rFonts w:hint="eastAsia" w:ascii="仿宋" w:hAnsi="仿宋" w:eastAsia="仿宋" w:cs="仿宋"/>
          <w:color w:val="000000" w:themeColor="text1"/>
          <w:sz w:val="32"/>
          <w:szCs w:val="32"/>
          <w:lang w:val="en-US" w:eastAsia="zh-CN"/>
          <w14:textFill>
            <w14:solidFill>
              <w14:schemeClr w14:val="tx1"/>
            </w14:solidFill>
          </w14:textFill>
        </w:rPr>
        <w:t>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4" w:name="5"/>
      <w:r>
        <w:rPr>
          <w:rFonts w:hint="eastAsia" w:ascii="仿宋" w:hAnsi="仿宋" w:eastAsia="仿宋" w:cs="仿宋"/>
          <w:color w:val="000000" w:themeColor="text1"/>
          <w:sz w:val="32"/>
          <w:szCs w:val="32"/>
          <w:lang w:val="en-US" w:eastAsia="zh-CN"/>
          <w14:textFill>
            <w14:solidFill>
              <w14:schemeClr w14:val="tx1"/>
            </w14:solidFill>
          </w14:textFill>
        </w:rPr>
        <w:t>　　第五条</w:t>
      </w:r>
      <w:bookmarkEnd w:id="4"/>
      <w:r>
        <w:rPr>
          <w:rFonts w:hint="eastAsia" w:ascii="仿宋" w:hAnsi="仿宋" w:eastAsia="仿宋" w:cs="仿宋"/>
          <w:color w:val="000000" w:themeColor="text1"/>
          <w:sz w:val="32"/>
          <w:szCs w:val="32"/>
          <w:lang w:val="en-US" w:eastAsia="zh-CN"/>
          <w14:textFill>
            <w14:solidFill>
              <w14:schemeClr w14:val="tx1"/>
            </w14:solidFill>
          </w14:textFill>
        </w:rPr>
        <w:t>　当事人采用合同书形式订立合同的，应当签字或者盖章。当事人在合同书上摁手印的，人民法院应当认定其具有与签字或者盖章同等的法律效力。</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5" w:name="6"/>
      <w:r>
        <w:rPr>
          <w:rFonts w:hint="eastAsia" w:ascii="仿宋" w:hAnsi="仿宋" w:eastAsia="仿宋" w:cs="仿宋"/>
          <w:color w:val="000000" w:themeColor="text1"/>
          <w:sz w:val="32"/>
          <w:szCs w:val="32"/>
          <w:lang w:val="en-US" w:eastAsia="zh-CN"/>
          <w14:textFill>
            <w14:solidFill>
              <w14:schemeClr w14:val="tx1"/>
            </w14:solidFill>
          </w14:textFill>
        </w:rPr>
        <w:t>　　第六条</w:t>
      </w:r>
      <w:bookmarkEnd w:id="5"/>
      <w:r>
        <w:rPr>
          <w:rFonts w:hint="eastAsia" w:ascii="仿宋" w:hAnsi="仿宋" w:eastAsia="仿宋" w:cs="仿宋"/>
          <w:color w:val="000000" w:themeColor="text1"/>
          <w:sz w:val="32"/>
          <w:szCs w:val="32"/>
          <w:lang w:val="en-US" w:eastAsia="zh-CN"/>
          <w14:textFill>
            <w14:solidFill>
              <w14:schemeClr w14:val="tx1"/>
            </w14:solidFill>
          </w14:textFill>
        </w:rPr>
        <w:t>　提供格式条款的一方对格式条款中免除或者限制其责任的内容，在合同订立时采用足以引起对方注意的文字、符号、字体等特别标识，并按照对方的要求对该格式条款予以说明的，人民法院应当认定符合</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"http://www.xinxiang.jcy.gov.cn/jwgk/flfg/201705/javascript:SLC(21651,39)"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三十九条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所称“采取合理的方式”。</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提供格式条款一方对已尽合理提示及说明义务承担举证责任。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6" w:name="7"/>
      <w:r>
        <w:rPr>
          <w:rFonts w:hint="eastAsia" w:ascii="仿宋" w:hAnsi="仿宋" w:eastAsia="仿宋" w:cs="仿宋"/>
          <w:color w:val="000000" w:themeColor="text1"/>
          <w:sz w:val="32"/>
          <w:szCs w:val="32"/>
          <w:lang w:val="en-US" w:eastAsia="zh-CN"/>
          <w14:textFill>
            <w14:solidFill>
              <w14:schemeClr w14:val="tx1"/>
            </w14:solidFill>
          </w14:textFill>
        </w:rPr>
        <w:t>　　第七条</w:t>
      </w:r>
      <w:bookmarkEnd w:id="6"/>
      <w:r>
        <w:rPr>
          <w:rFonts w:hint="eastAsia" w:ascii="仿宋" w:hAnsi="仿宋" w:eastAsia="仿宋" w:cs="仿宋"/>
          <w:color w:val="000000" w:themeColor="text1"/>
          <w:sz w:val="32"/>
          <w:szCs w:val="32"/>
          <w:lang w:val="en-US" w:eastAsia="zh-CN"/>
          <w14:textFill>
            <w14:solidFill>
              <w14:schemeClr w14:val="tx1"/>
            </w14:solidFill>
          </w14:textFill>
        </w:rPr>
        <w:t>　下列情形，不违反法律、行政法规强制性规定的，人民法院可以认定为</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所称“交易习惯”：</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（一）在交易行为当地或者某一领域、某一行业通常采用并为交易对方订立合同时所知道或者应当知道的做法；</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（二）当事人双方经常使用的习惯做法。</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对于交易习惯，由提出主张的一方当事人承担举证责任。</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7" w:name="8"/>
      <w:r>
        <w:rPr>
          <w:rFonts w:hint="eastAsia" w:ascii="仿宋" w:hAnsi="仿宋" w:eastAsia="仿宋" w:cs="仿宋"/>
          <w:color w:val="000000" w:themeColor="text1"/>
          <w:sz w:val="32"/>
          <w:szCs w:val="32"/>
          <w:lang w:val="en-US" w:eastAsia="zh-CN"/>
          <w14:textFill>
            <w14:solidFill>
              <w14:schemeClr w14:val="tx1"/>
            </w14:solidFill>
          </w14:textFill>
        </w:rPr>
        <w:t>　　第八条</w:t>
      </w:r>
      <w:bookmarkEnd w:id="7"/>
      <w:r>
        <w:rPr>
          <w:rFonts w:hint="eastAsia" w:ascii="仿宋" w:hAnsi="仿宋" w:eastAsia="仿宋" w:cs="仿宋"/>
          <w:color w:val="000000" w:themeColor="text1"/>
          <w:sz w:val="32"/>
          <w:szCs w:val="32"/>
          <w:lang w:val="en-US" w:eastAsia="zh-CN"/>
          <w14:textFill>
            <w14:solidFill>
              <w14:schemeClr w14:val="tx1"/>
            </w14:solidFill>
          </w14:textFill>
        </w:rPr>
        <w:t>　依照法律、行政法规的规定经批准或者登记才能生效的合同成立后，有义务办理申请批准或者申请登记等手续的一方当事人未按照法律规定或者合同约定办理申请批准或者未申请登记的，属于</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"http://www.xinxiang.jcy.gov.cn/jwgk/flfg/201705/javascript:SLC(21651,42)"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四十二条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二、合同的效力</w:t>
      </w:r>
    </w:p>
    <w:p>
      <w:pPr>
        <w:rPr>
          <w:rFonts w:hint="eastAsia" w:ascii="仿宋" w:hAnsi="仿宋" w:eastAsia="仿宋" w:cs="仿宋"/>
          <w:color w:val="000000" w:themeColor="text1"/>
          <w:sz w:val="32"/>
          <w:szCs w:val="32"/>
          <w14:textFill>
            <w14:solidFill>
              <w14:schemeClr w14:val="tx1"/>
            </w14:solidFill>
          </w14:textFill>
        </w:rPr>
      </w:pPr>
      <w:bookmarkStart w:id="8" w:name="9"/>
      <w:r>
        <w:rPr>
          <w:rFonts w:hint="eastAsia" w:ascii="仿宋" w:hAnsi="仿宋" w:eastAsia="仿宋" w:cs="仿宋"/>
          <w:color w:val="000000" w:themeColor="text1"/>
          <w:sz w:val="32"/>
          <w:szCs w:val="32"/>
          <w:lang w:val="en-US" w:eastAsia="zh-CN"/>
          <w14:textFill>
            <w14:solidFill>
              <w14:schemeClr w14:val="tx1"/>
            </w14:solidFill>
          </w14:textFill>
        </w:rPr>
        <w:t>　　第九条</w:t>
      </w:r>
      <w:bookmarkEnd w:id="8"/>
      <w:r>
        <w:rPr>
          <w:rFonts w:hint="eastAsia" w:ascii="仿宋" w:hAnsi="仿宋" w:eastAsia="仿宋" w:cs="仿宋"/>
          <w:color w:val="000000" w:themeColor="text1"/>
          <w:sz w:val="32"/>
          <w:szCs w:val="32"/>
          <w:lang w:val="en-US" w:eastAsia="zh-CN"/>
          <w14:textFill>
            <w14:solidFill>
              <w14:schemeClr w14:val="tx1"/>
            </w14:solidFill>
          </w14:textFill>
        </w:rPr>
        <w:t>　提供格式条款的一方当事人违反</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"http://www.xinxiang.jcy.gov.cn/jwgk/flfg/201705/javascript:SLC(21651,39)"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三十九条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第一款关于提示和说明义务的规定，导致对方没有注意免除或者限制其责任的条款，对方当事人申请撤销该格式条款的，人民法院应当支持。</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9" w:name="10"/>
      <w:r>
        <w:rPr>
          <w:rFonts w:hint="eastAsia" w:ascii="仿宋" w:hAnsi="仿宋" w:eastAsia="仿宋" w:cs="仿宋"/>
          <w:color w:val="000000" w:themeColor="text1"/>
          <w:sz w:val="32"/>
          <w:szCs w:val="32"/>
          <w:lang w:val="en-US" w:eastAsia="zh-CN"/>
          <w14:textFill>
            <w14:solidFill>
              <w14:schemeClr w14:val="tx1"/>
            </w14:solidFill>
          </w14:textFill>
        </w:rPr>
        <w:t>　　第十条</w:t>
      </w:r>
      <w:bookmarkEnd w:id="9"/>
      <w:r>
        <w:rPr>
          <w:rFonts w:hint="eastAsia" w:ascii="仿宋" w:hAnsi="仿宋" w:eastAsia="仿宋" w:cs="仿宋"/>
          <w:color w:val="000000" w:themeColor="text1"/>
          <w:sz w:val="32"/>
          <w:szCs w:val="32"/>
          <w:lang w:val="en-US" w:eastAsia="zh-CN"/>
          <w14:textFill>
            <w14:solidFill>
              <w14:schemeClr w14:val="tx1"/>
            </w14:solidFill>
          </w14:textFill>
        </w:rPr>
        <w:t>　提供格式条款的一方当事人违反</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"http://www.xinxiang.jcy.gov.cn/jwgk/flfg/201705/javascript:SLC(21651,39)"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三十九条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第一款的规定，并具有</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"http://www.xinxiang.jcy.gov.cn/jwgk/flfg/201705/javascript:SLC(21651,40)"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四十条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规定的情形之一的，人民法院应当认定该格式条款无效。</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0" w:name="11"/>
      <w:r>
        <w:rPr>
          <w:rFonts w:hint="eastAsia" w:ascii="仿宋" w:hAnsi="仿宋" w:eastAsia="仿宋" w:cs="仿宋"/>
          <w:color w:val="000000" w:themeColor="text1"/>
          <w:sz w:val="32"/>
          <w:szCs w:val="32"/>
          <w:lang w:val="en-US" w:eastAsia="zh-CN"/>
          <w14:textFill>
            <w14:solidFill>
              <w14:schemeClr w14:val="tx1"/>
            </w14:solidFill>
          </w14:textFill>
        </w:rPr>
        <w:t>　　第十一条</w:t>
      </w:r>
      <w:bookmarkEnd w:id="10"/>
      <w:r>
        <w:rPr>
          <w:rFonts w:hint="eastAsia" w:ascii="仿宋" w:hAnsi="仿宋" w:eastAsia="仿宋" w:cs="仿宋"/>
          <w:color w:val="000000" w:themeColor="text1"/>
          <w:sz w:val="32"/>
          <w:szCs w:val="32"/>
          <w:lang w:val="en-US" w:eastAsia="zh-CN"/>
          <w14:textFill>
            <w14:solidFill>
              <w14:schemeClr w14:val="tx1"/>
            </w14:solidFill>
          </w14:textFill>
        </w:rPr>
        <w:t>　根据</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"http://www.xinxiang.jcy.gov.cn/jwgk/flfg/201705/javascript:SLC(21651,47)"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四十七条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"http://www.xinxiang.jcy.gov.cn/jwgk/flfg/201705/javascript:SLC(21651,48)"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四十八条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的规定，追认的意思表示自到达相对人时生效，合同自订立时起生效。</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1" w:name="12"/>
      <w:r>
        <w:rPr>
          <w:rFonts w:hint="eastAsia" w:ascii="仿宋" w:hAnsi="仿宋" w:eastAsia="仿宋" w:cs="仿宋"/>
          <w:color w:val="000000" w:themeColor="text1"/>
          <w:sz w:val="32"/>
          <w:szCs w:val="32"/>
          <w:lang w:val="en-US" w:eastAsia="zh-CN"/>
          <w14:textFill>
            <w14:solidFill>
              <w14:schemeClr w14:val="tx1"/>
            </w14:solidFill>
          </w14:textFill>
        </w:rPr>
        <w:t>　　第十二条</w:t>
      </w:r>
      <w:bookmarkEnd w:id="11"/>
      <w:r>
        <w:rPr>
          <w:rFonts w:hint="eastAsia" w:ascii="仿宋" w:hAnsi="仿宋" w:eastAsia="仿宋" w:cs="仿宋"/>
          <w:color w:val="000000" w:themeColor="text1"/>
          <w:sz w:val="32"/>
          <w:szCs w:val="32"/>
          <w:lang w:val="en-US" w:eastAsia="zh-CN"/>
          <w14:textFill>
            <w14:solidFill>
              <w14:schemeClr w14:val="tx1"/>
            </w14:solidFill>
          </w14:textFill>
        </w:rPr>
        <w:t>　无权代理人以被代理人的名义订立合同，被代理人已经开始履行合同义务的，视为对合同的追认。</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2" w:name="13"/>
      <w:r>
        <w:rPr>
          <w:rFonts w:hint="eastAsia" w:ascii="仿宋" w:hAnsi="仿宋" w:eastAsia="仿宋" w:cs="仿宋"/>
          <w:color w:val="000000" w:themeColor="text1"/>
          <w:sz w:val="32"/>
          <w:szCs w:val="32"/>
          <w:lang w:val="en-US" w:eastAsia="zh-CN"/>
          <w14:textFill>
            <w14:solidFill>
              <w14:schemeClr w14:val="tx1"/>
            </w14:solidFill>
          </w14:textFill>
        </w:rPr>
        <w:t>　　第十三条</w:t>
      </w:r>
      <w:bookmarkEnd w:id="12"/>
      <w:r>
        <w:rPr>
          <w:rFonts w:hint="eastAsia" w:ascii="仿宋" w:hAnsi="仿宋" w:eastAsia="仿宋" w:cs="仿宋"/>
          <w:color w:val="000000" w:themeColor="text1"/>
          <w:sz w:val="32"/>
          <w:szCs w:val="32"/>
          <w:lang w:val="en-US" w:eastAsia="zh-CN"/>
          <w14:textFill>
            <w14:solidFill>
              <w14:schemeClr w14:val="tx1"/>
            </w14:solidFill>
          </w14:textFill>
        </w:rPr>
        <w:t>　被代理人依照</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"http://www.xinxiang.jcy.gov.cn/jwgk/flfg/201705/javascript:SLC(21651,49)"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四十九条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的规定承担有效代理行为所产生的责任后，可以向无权代理人追偿因代理行为而遭受的损失。</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3" w:name="14"/>
      <w:r>
        <w:rPr>
          <w:rFonts w:hint="eastAsia" w:ascii="仿宋" w:hAnsi="仿宋" w:eastAsia="仿宋" w:cs="仿宋"/>
          <w:color w:val="000000" w:themeColor="text1"/>
          <w:sz w:val="32"/>
          <w:szCs w:val="32"/>
          <w:lang w:val="en-US" w:eastAsia="zh-CN"/>
          <w14:textFill>
            <w14:solidFill>
              <w14:schemeClr w14:val="tx1"/>
            </w14:solidFill>
          </w14:textFill>
        </w:rPr>
        <w:t>　　第十四条</w:t>
      </w:r>
      <w:bookmarkEnd w:id="13"/>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"http://www.xinxiang.jcy.gov.cn/jwgk/flfg/201705/javascript:SLC(21651,52)"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五十二条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第（五）项规定的“强制性规定”，是指效力性强制性规定。</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4" w:name="15"/>
      <w:r>
        <w:rPr>
          <w:rFonts w:hint="eastAsia" w:ascii="仿宋" w:hAnsi="仿宋" w:eastAsia="仿宋" w:cs="仿宋"/>
          <w:color w:val="000000" w:themeColor="text1"/>
          <w:sz w:val="32"/>
          <w:szCs w:val="32"/>
          <w:lang w:val="en-US" w:eastAsia="zh-CN"/>
          <w14:textFill>
            <w14:solidFill>
              <w14:schemeClr w14:val="tx1"/>
            </w14:solidFill>
          </w14:textFill>
        </w:rPr>
        <w:t>　　第十五条</w:t>
      </w:r>
      <w:bookmarkEnd w:id="14"/>
      <w:r>
        <w:rPr>
          <w:rFonts w:hint="eastAsia" w:ascii="仿宋" w:hAnsi="仿宋" w:eastAsia="仿宋" w:cs="仿宋"/>
          <w:color w:val="000000" w:themeColor="text1"/>
          <w:sz w:val="32"/>
          <w:szCs w:val="32"/>
          <w:lang w:val="en-US" w:eastAsia="zh-CN"/>
          <w14:textFill>
            <w14:solidFill>
              <w14:schemeClr w14:val="tx1"/>
            </w14:solidFill>
          </w14:textFill>
        </w:rPr>
        <w:t>　出卖人就同一标的物订立多重买卖合同，合同均不具有</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"http://www.xinxiang.jcy.gov.cn/jwgk/flfg/201705/javascript:SLC(21651,52)"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五十二条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规定的无效情形，买受人因不能按照合同约定取得标的物所有权，请求追究出卖人违约责任的，人民法院应予支持。</w:t>
      </w:r>
    </w:p>
    <w:p>
      <w:pPr>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三、合同的履行</w:t>
      </w:r>
    </w:p>
    <w:p>
      <w:pPr>
        <w:rPr>
          <w:rFonts w:hint="eastAsia" w:ascii="仿宋" w:hAnsi="仿宋" w:eastAsia="仿宋" w:cs="仿宋"/>
          <w:color w:val="000000" w:themeColor="text1"/>
          <w:sz w:val="32"/>
          <w:szCs w:val="32"/>
          <w14:textFill>
            <w14:solidFill>
              <w14:schemeClr w14:val="tx1"/>
            </w14:solidFill>
          </w14:textFill>
        </w:rPr>
      </w:pPr>
      <w:bookmarkStart w:id="15" w:name="16"/>
      <w:r>
        <w:rPr>
          <w:rFonts w:hint="eastAsia" w:ascii="仿宋" w:hAnsi="仿宋" w:eastAsia="仿宋" w:cs="仿宋"/>
          <w:color w:val="000000" w:themeColor="text1"/>
          <w:sz w:val="32"/>
          <w:szCs w:val="32"/>
          <w:lang w:val="en-US" w:eastAsia="zh-CN"/>
          <w14:textFill>
            <w14:solidFill>
              <w14:schemeClr w14:val="tx1"/>
            </w14:solidFill>
          </w14:textFill>
        </w:rPr>
        <w:t>　　第十六条</w:t>
      </w:r>
      <w:bookmarkEnd w:id="15"/>
      <w:r>
        <w:rPr>
          <w:rFonts w:hint="eastAsia" w:ascii="仿宋" w:hAnsi="仿宋" w:eastAsia="仿宋" w:cs="仿宋"/>
          <w:color w:val="000000" w:themeColor="text1"/>
          <w:sz w:val="32"/>
          <w:szCs w:val="32"/>
          <w:lang w:val="en-US" w:eastAsia="zh-CN"/>
          <w14:textFill>
            <w14:solidFill>
              <w14:schemeClr w14:val="tx1"/>
            </w14:solidFill>
          </w14:textFill>
        </w:rPr>
        <w:t>　人民法院根据具体案情可以将</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"http://www.xinxiang.jcy.gov.cn/jwgk/flfg/201705/javascript:SLC(21651,64)"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六十四条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"http://www.xinxiang.jcy.gov.cn/jwgk/flfg/201705/javascript:SLC(21651,65)"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六十五条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规定的第三人列为无独立请求权的第三人，但不得依职权将其列为该合同诉讼案件的被告或者有独立请求权的第三人。</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6" w:name="17"/>
      <w:r>
        <w:rPr>
          <w:rFonts w:hint="eastAsia" w:ascii="仿宋" w:hAnsi="仿宋" w:eastAsia="仿宋" w:cs="仿宋"/>
          <w:color w:val="000000" w:themeColor="text1"/>
          <w:sz w:val="32"/>
          <w:szCs w:val="32"/>
          <w:lang w:val="en-US" w:eastAsia="zh-CN"/>
          <w14:textFill>
            <w14:solidFill>
              <w14:schemeClr w14:val="tx1"/>
            </w14:solidFill>
          </w14:textFill>
        </w:rPr>
        <w:t>　　第十七条</w:t>
      </w:r>
      <w:bookmarkEnd w:id="16"/>
      <w:r>
        <w:rPr>
          <w:rFonts w:hint="eastAsia" w:ascii="仿宋" w:hAnsi="仿宋" w:eastAsia="仿宋" w:cs="仿宋"/>
          <w:color w:val="000000" w:themeColor="text1"/>
          <w:sz w:val="32"/>
          <w:szCs w:val="32"/>
          <w:lang w:val="en-US" w:eastAsia="zh-CN"/>
          <w14:textFill>
            <w14:solidFill>
              <w14:schemeClr w14:val="tx1"/>
            </w14:solidFill>
          </w14:textFill>
        </w:rPr>
        <w:t>　债权人以境外当事人为被告提起的代位权诉讼，人民法院根据《</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"http://www.xinxiang.jcy.gov.cn/jwgk/flfg/201705/javascript:SLC(98761,0)"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中华人民共和国民事诉讼法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"http://www.xinxiang.jcy.gov.cn/jwgk/flfg/201705/javascript:SLC(98761,241)"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二百四十一条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的规定确定管辖。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7" w:name="18"/>
      <w:r>
        <w:rPr>
          <w:rFonts w:hint="eastAsia" w:ascii="仿宋" w:hAnsi="仿宋" w:eastAsia="仿宋" w:cs="仿宋"/>
          <w:color w:val="000000" w:themeColor="text1"/>
          <w:sz w:val="32"/>
          <w:szCs w:val="32"/>
          <w:lang w:val="en-US" w:eastAsia="zh-CN"/>
          <w14:textFill>
            <w14:solidFill>
              <w14:schemeClr w14:val="tx1"/>
            </w14:solidFill>
          </w14:textFill>
        </w:rPr>
        <w:t>　　第十八条</w:t>
      </w:r>
      <w:bookmarkEnd w:id="17"/>
      <w:r>
        <w:rPr>
          <w:rFonts w:hint="eastAsia" w:ascii="仿宋" w:hAnsi="仿宋" w:eastAsia="仿宋" w:cs="仿宋"/>
          <w:color w:val="000000" w:themeColor="text1"/>
          <w:sz w:val="32"/>
          <w:szCs w:val="32"/>
          <w:lang w:val="en-US" w:eastAsia="zh-CN"/>
          <w14:textFill>
            <w14:solidFill>
              <w14:schemeClr w14:val="tx1"/>
            </w14:solidFill>
          </w14:textFill>
        </w:rPr>
        <w:t>　债务人放弃其未到期的债权或者放弃债权担保，或者恶意延长到期债权的履行期，对债权人造成损害，债权人依照</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"http://www.xinxiang.jcy.gov.cn/jwgk/flfg/201705/javascript:SLC(21651,74)"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七十四条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的规定提起撤销权诉讼的，人民法院应当支持。</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8" w:name="19"/>
      <w:r>
        <w:rPr>
          <w:rFonts w:hint="eastAsia" w:ascii="仿宋" w:hAnsi="仿宋" w:eastAsia="仿宋" w:cs="仿宋"/>
          <w:color w:val="000000" w:themeColor="text1"/>
          <w:sz w:val="32"/>
          <w:szCs w:val="32"/>
          <w:lang w:val="en-US" w:eastAsia="zh-CN"/>
          <w14:textFill>
            <w14:solidFill>
              <w14:schemeClr w14:val="tx1"/>
            </w14:solidFill>
          </w14:textFill>
        </w:rPr>
        <w:t>　　第十九条</w:t>
      </w:r>
      <w:bookmarkEnd w:id="18"/>
      <w:r>
        <w:rPr>
          <w:rFonts w:hint="eastAsia" w:ascii="仿宋" w:hAnsi="仿宋" w:eastAsia="仿宋" w:cs="仿宋"/>
          <w:color w:val="000000" w:themeColor="text1"/>
          <w:sz w:val="32"/>
          <w:szCs w:val="32"/>
          <w:lang w:val="en-US" w:eastAsia="zh-CN"/>
          <w14:textFill>
            <w14:solidFill>
              <w14:schemeClr w14:val="tx1"/>
            </w14:solidFill>
          </w14:textFill>
        </w:rPr>
        <w:t>　对于</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"http://www.xinxiang.jcy.gov.cn/jwgk/flfg/201705/javascript:SLC(21651,74)"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七十四条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规定的“明显不合理的低价”，人民法院应当以交易当地一般经营者的判断，并参考交易当时交易地的物价部门指导价或者市场交易价，结合其他相关因素综合考虑予以确认。</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转让价格达不到交易时交易地的指导价或者市场交易价百分之七十的，一般可以视为明显不合理的低价；对转让价格高于当地指导价或者市场交易价百分之三十的，一般可以视为明显不合理的高价。</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债务人以明显不合理的高价收购他人财产，人民法院可以根据债权人的申请，参照</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"http://www.xinxiang.jcy.gov.cn/jwgk/flfg/201705/javascript:SLC(21651,74)"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七十四条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的规定予以撤销。</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19" w:name="20"/>
      <w:r>
        <w:rPr>
          <w:rFonts w:hint="eastAsia" w:ascii="仿宋" w:hAnsi="仿宋" w:eastAsia="仿宋" w:cs="仿宋"/>
          <w:color w:val="000000" w:themeColor="text1"/>
          <w:sz w:val="32"/>
          <w:szCs w:val="32"/>
          <w:lang w:val="en-US" w:eastAsia="zh-CN"/>
          <w14:textFill>
            <w14:solidFill>
              <w14:schemeClr w14:val="tx1"/>
            </w14:solidFill>
          </w14:textFill>
        </w:rPr>
        <w:t>　　第二十条</w:t>
      </w:r>
      <w:bookmarkEnd w:id="19"/>
      <w:r>
        <w:rPr>
          <w:rFonts w:hint="eastAsia" w:ascii="仿宋" w:hAnsi="仿宋" w:eastAsia="仿宋" w:cs="仿宋"/>
          <w:color w:val="000000" w:themeColor="text1"/>
          <w:sz w:val="32"/>
          <w:szCs w:val="32"/>
          <w:lang w:val="en-US" w:eastAsia="zh-CN"/>
          <w14:textFill>
            <w14:solidFill>
              <w14:schemeClr w14:val="tx1"/>
            </w14:solidFill>
          </w14:textFill>
        </w:rPr>
        <w:t>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0" w:name="21"/>
      <w:r>
        <w:rPr>
          <w:rFonts w:hint="eastAsia" w:ascii="仿宋" w:hAnsi="仿宋" w:eastAsia="仿宋" w:cs="仿宋"/>
          <w:color w:val="000000" w:themeColor="text1"/>
          <w:sz w:val="32"/>
          <w:szCs w:val="32"/>
          <w:lang w:val="en-US" w:eastAsia="zh-CN"/>
          <w14:textFill>
            <w14:solidFill>
              <w14:schemeClr w14:val="tx1"/>
            </w14:solidFill>
          </w14:textFill>
        </w:rPr>
        <w:t>　　第二十一条</w:t>
      </w:r>
      <w:bookmarkEnd w:id="20"/>
      <w:r>
        <w:rPr>
          <w:rFonts w:hint="eastAsia" w:ascii="仿宋" w:hAnsi="仿宋" w:eastAsia="仿宋" w:cs="仿宋"/>
          <w:color w:val="000000" w:themeColor="text1"/>
          <w:sz w:val="32"/>
          <w:szCs w:val="32"/>
          <w:lang w:val="en-US" w:eastAsia="zh-CN"/>
          <w14:textFill>
            <w14:solidFill>
              <w14:schemeClr w14:val="tx1"/>
            </w14:solidFill>
          </w14:textFill>
        </w:rPr>
        <w:t>　债务人除主债务之外还应当支付利息和费用，当其给付不足以清偿全部债务时，并且当事人没有约定的，人民法院应当按照下列顺序抵充：</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（一）实现债权的有关费用；</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（二）利息；</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（三）主债务。</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四、合同的权利义务终止</w:t>
      </w:r>
    </w:p>
    <w:p>
      <w:pPr>
        <w:rPr>
          <w:rFonts w:hint="eastAsia" w:ascii="仿宋" w:hAnsi="仿宋" w:eastAsia="仿宋" w:cs="仿宋"/>
          <w:color w:val="000000" w:themeColor="text1"/>
          <w:sz w:val="32"/>
          <w:szCs w:val="32"/>
          <w14:textFill>
            <w14:solidFill>
              <w14:schemeClr w14:val="tx1"/>
            </w14:solidFill>
          </w14:textFill>
        </w:rPr>
      </w:pPr>
      <w:bookmarkStart w:id="21" w:name="22"/>
      <w:r>
        <w:rPr>
          <w:rFonts w:hint="eastAsia" w:ascii="仿宋" w:hAnsi="仿宋" w:eastAsia="仿宋" w:cs="仿宋"/>
          <w:color w:val="000000" w:themeColor="text1"/>
          <w:sz w:val="32"/>
          <w:szCs w:val="32"/>
          <w:lang w:val="en-US" w:eastAsia="zh-CN"/>
          <w14:textFill>
            <w14:solidFill>
              <w14:schemeClr w14:val="tx1"/>
            </w14:solidFill>
          </w14:textFill>
        </w:rPr>
        <w:t>　　第二十二条</w:t>
      </w:r>
      <w:bookmarkEnd w:id="21"/>
      <w:r>
        <w:rPr>
          <w:rFonts w:hint="eastAsia" w:ascii="仿宋" w:hAnsi="仿宋" w:eastAsia="仿宋" w:cs="仿宋"/>
          <w:color w:val="000000" w:themeColor="text1"/>
          <w:sz w:val="32"/>
          <w:szCs w:val="32"/>
          <w:lang w:val="en-US" w:eastAsia="zh-CN"/>
          <w14:textFill>
            <w14:solidFill>
              <w14:schemeClr w14:val="tx1"/>
            </w14:solidFill>
          </w14:textFill>
        </w:rPr>
        <w:t>　当事人一方违反</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"http://www.xinxiang.jcy.gov.cn/jwgk/flfg/201705/javascript:SLC(21651,92)"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九十二条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规定的义务，给对方当事人造成损失，对方当事人请求赔偿实际损失的，人民法院应当支持。</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2" w:name="23"/>
      <w:r>
        <w:rPr>
          <w:rFonts w:hint="eastAsia" w:ascii="仿宋" w:hAnsi="仿宋" w:eastAsia="仿宋" w:cs="仿宋"/>
          <w:color w:val="000000" w:themeColor="text1"/>
          <w:sz w:val="32"/>
          <w:szCs w:val="32"/>
          <w:lang w:val="en-US" w:eastAsia="zh-CN"/>
          <w14:textFill>
            <w14:solidFill>
              <w14:schemeClr w14:val="tx1"/>
            </w14:solidFill>
          </w14:textFill>
        </w:rPr>
        <w:t>　　第二十三条</w:t>
      </w:r>
      <w:bookmarkEnd w:id="22"/>
      <w:r>
        <w:rPr>
          <w:rFonts w:hint="eastAsia" w:ascii="仿宋" w:hAnsi="仿宋" w:eastAsia="仿宋" w:cs="仿宋"/>
          <w:color w:val="000000" w:themeColor="text1"/>
          <w:sz w:val="32"/>
          <w:szCs w:val="32"/>
          <w:lang w:val="en-US" w:eastAsia="zh-CN"/>
          <w14:textFill>
            <w14:solidFill>
              <w14:schemeClr w14:val="tx1"/>
            </w14:solidFill>
          </w14:textFill>
        </w:rPr>
        <w:t>　对于依照</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"http://www.xinxiang.jcy.gov.cn/jwgk/flfg/201705/javascript:SLC(21651,99)"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九十九条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的规定可以抵销的到期债权，当事人约定不得抵销的，人民法院可以认定该约定有效。</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3" w:name="24"/>
      <w:r>
        <w:rPr>
          <w:rFonts w:hint="eastAsia" w:ascii="仿宋" w:hAnsi="仿宋" w:eastAsia="仿宋" w:cs="仿宋"/>
          <w:color w:val="000000" w:themeColor="text1"/>
          <w:sz w:val="32"/>
          <w:szCs w:val="32"/>
          <w:lang w:val="en-US" w:eastAsia="zh-CN"/>
          <w14:textFill>
            <w14:solidFill>
              <w14:schemeClr w14:val="tx1"/>
            </w14:solidFill>
          </w14:textFill>
        </w:rPr>
        <w:t>　　第二十四条</w:t>
      </w:r>
      <w:bookmarkEnd w:id="23"/>
      <w:r>
        <w:rPr>
          <w:rFonts w:hint="eastAsia" w:ascii="仿宋" w:hAnsi="仿宋" w:eastAsia="仿宋" w:cs="仿宋"/>
          <w:color w:val="000000" w:themeColor="text1"/>
          <w:sz w:val="32"/>
          <w:szCs w:val="32"/>
          <w:lang w:val="en-US" w:eastAsia="zh-CN"/>
          <w14:textFill>
            <w14:solidFill>
              <w14:schemeClr w14:val="tx1"/>
            </w14:solidFill>
          </w14:textFill>
        </w:rPr>
        <w:t>　当事人对</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"http://www.xinxiang.jcy.gov.cn/jwgk/flfg/201705/javascript:SLC(21651,96)"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九十六条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"http://www.xinxiang.jcy.gov.cn/jwgk/flfg/201705/javascript:SLC(21651,99)"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九十九条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4" w:name="25"/>
      <w:r>
        <w:rPr>
          <w:rFonts w:hint="eastAsia" w:ascii="仿宋" w:hAnsi="仿宋" w:eastAsia="仿宋" w:cs="仿宋"/>
          <w:color w:val="000000" w:themeColor="text1"/>
          <w:sz w:val="32"/>
          <w:szCs w:val="32"/>
          <w:lang w:val="en-US" w:eastAsia="zh-CN"/>
          <w14:textFill>
            <w14:solidFill>
              <w14:schemeClr w14:val="tx1"/>
            </w14:solidFill>
          </w14:textFill>
        </w:rPr>
        <w:t>　　第二十五条</w:t>
      </w:r>
      <w:bookmarkEnd w:id="24"/>
      <w:r>
        <w:rPr>
          <w:rFonts w:hint="eastAsia" w:ascii="仿宋" w:hAnsi="仿宋" w:eastAsia="仿宋" w:cs="仿宋"/>
          <w:color w:val="000000" w:themeColor="text1"/>
          <w:sz w:val="32"/>
          <w:szCs w:val="32"/>
          <w:lang w:val="en-US" w:eastAsia="zh-CN"/>
          <w14:textFill>
            <w14:solidFill>
              <w14:schemeClr w14:val="tx1"/>
            </w14:solidFill>
          </w14:textFill>
        </w:rPr>
        <w:t>　依照</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"http://www.xinxiang.jcy.gov.cn/jwgk/flfg/201705/javascript:SLC(21651,101)"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一百零一条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的规定，债务人将合同标的物或者标的物拍卖、变卖所得价款交付提存部门时，人民法院应当认定提存成立。</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提存成立的，视为债务人在其提存范围内已经履行债务。</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5" w:name="26"/>
      <w:r>
        <w:rPr>
          <w:rFonts w:hint="eastAsia" w:ascii="仿宋" w:hAnsi="仿宋" w:eastAsia="仿宋" w:cs="仿宋"/>
          <w:color w:val="000000" w:themeColor="text1"/>
          <w:sz w:val="32"/>
          <w:szCs w:val="32"/>
          <w:lang w:val="en-US" w:eastAsia="zh-CN"/>
          <w14:textFill>
            <w14:solidFill>
              <w14:schemeClr w14:val="tx1"/>
            </w14:solidFill>
          </w14:textFill>
        </w:rPr>
        <w:t>　　第二十六条</w:t>
      </w:r>
      <w:bookmarkEnd w:id="25"/>
      <w:r>
        <w:rPr>
          <w:rFonts w:hint="eastAsia" w:ascii="仿宋" w:hAnsi="仿宋" w:eastAsia="仿宋" w:cs="仿宋"/>
          <w:color w:val="000000" w:themeColor="text1"/>
          <w:sz w:val="32"/>
          <w:szCs w:val="32"/>
          <w:lang w:val="en-US" w:eastAsia="zh-CN"/>
          <w14:textFill>
            <w14:solidFill>
              <w14:schemeClr w14:val="tx1"/>
            </w14:solidFill>
          </w14:textFill>
        </w:rPr>
        <w:t>　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五、违约责任</w:t>
      </w:r>
    </w:p>
    <w:p>
      <w:pPr>
        <w:ind w:firstLine="640"/>
        <w:rPr>
          <w:rFonts w:hint="eastAsia" w:ascii="仿宋" w:hAnsi="仿宋" w:eastAsia="仿宋" w:cs="仿宋"/>
          <w:color w:val="000000" w:themeColor="text1"/>
          <w:sz w:val="32"/>
          <w:szCs w:val="32"/>
          <w:lang w:val="en-US" w:eastAsia="zh-CN"/>
          <w14:textFill>
            <w14:solidFill>
              <w14:schemeClr w14:val="tx1"/>
            </w14:solidFill>
          </w14:textFill>
        </w:rPr>
      </w:pPr>
      <w:bookmarkStart w:id="26" w:name="27"/>
      <w:r>
        <w:rPr>
          <w:rFonts w:hint="eastAsia" w:ascii="仿宋" w:hAnsi="仿宋" w:eastAsia="仿宋" w:cs="仿宋"/>
          <w:color w:val="000000" w:themeColor="text1"/>
          <w:sz w:val="32"/>
          <w:szCs w:val="32"/>
          <w:lang w:val="en-US" w:eastAsia="zh-CN"/>
          <w14:textFill>
            <w14:solidFill>
              <w14:schemeClr w14:val="tx1"/>
            </w14:solidFill>
          </w14:textFill>
        </w:rPr>
        <w:t>第二十七条</w:t>
      </w:r>
      <w:bookmarkEnd w:id="26"/>
      <w:r>
        <w:rPr>
          <w:rFonts w:hint="eastAsia" w:ascii="仿宋" w:hAnsi="仿宋" w:eastAsia="仿宋" w:cs="仿宋"/>
          <w:color w:val="000000" w:themeColor="text1"/>
          <w:sz w:val="32"/>
          <w:szCs w:val="32"/>
          <w:lang w:val="en-US" w:eastAsia="zh-CN"/>
          <w14:textFill>
            <w14:solidFill>
              <w14:schemeClr w14:val="tx1"/>
            </w14:solidFill>
          </w14:textFill>
        </w:rPr>
        <w:t>　当事人通过反诉或者抗辩的方式，请求人民法院依照</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"http://www.xinxiang.jcy.gov.cn/jwgk/flfg/201705/javascript:SLC(21651,114)"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一百一十四条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第二款的规定调整违约金的，人民法院应予支持。</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7" w:name="28"/>
      <w:r>
        <w:rPr>
          <w:rFonts w:hint="eastAsia" w:ascii="仿宋" w:hAnsi="仿宋" w:eastAsia="仿宋" w:cs="仿宋"/>
          <w:color w:val="000000" w:themeColor="text1"/>
          <w:sz w:val="32"/>
          <w:szCs w:val="32"/>
          <w:lang w:val="en-US" w:eastAsia="zh-CN"/>
          <w14:textFill>
            <w14:solidFill>
              <w14:schemeClr w14:val="tx1"/>
            </w14:solidFill>
          </w14:textFill>
        </w:rPr>
        <w:t>　　第二十八条</w:t>
      </w:r>
      <w:bookmarkEnd w:id="27"/>
      <w:r>
        <w:rPr>
          <w:rFonts w:hint="eastAsia" w:ascii="仿宋" w:hAnsi="仿宋" w:eastAsia="仿宋" w:cs="仿宋"/>
          <w:color w:val="000000" w:themeColor="text1"/>
          <w:sz w:val="32"/>
          <w:szCs w:val="32"/>
          <w:lang w:val="en-US" w:eastAsia="zh-CN"/>
          <w14:textFill>
            <w14:solidFill>
              <w14:schemeClr w14:val="tx1"/>
            </w14:solidFill>
          </w14:textFill>
        </w:rPr>
        <w:t>　当事人依照</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"http://www.xinxiang.jcy.gov.cn/jwgk/flfg/201705/javascript:SLC(21651,114)"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一百一十四条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第二款的规定，请求人民法院增加违约金的，增加后的违约金数额以不超过实际损失额为限。增加违约金以后，当事人又请求对方赔偿损失的，人民法院不予支持。</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bookmarkStart w:id="28" w:name="29"/>
      <w:r>
        <w:rPr>
          <w:rFonts w:hint="eastAsia" w:ascii="仿宋" w:hAnsi="仿宋" w:eastAsia="仿宋" w:cs="仿宋"/>
          <w:color w:val="000000" w:themeColor="text1"/>
          <w:sz w:val="32"/>
          <w:szCs w:val="32"/>
          <w:lang w:val="en-US" w:eastAsia="zh-CN"/>
          <w14:textFill>
            <w14:solidFill>
              <w14:schemeClr w14:val="tx1"/>
            </w14:solidFill>
          </w14:textFill>
        </w:rPr>
        <w:t>　　第二十九条</w:t>
      </w:r>
      <w:bookmarkEnd w:id="28"/>
      <w:r>
        <w:rPr>
          <w:rFonts w:hint="eastAsia" w:ascii="仿宋" w:hAnsi="仿宋" w:eastAsia="仿宋" w:cs="仿宋"/>
          <w:color w:val="000000" w:themeColor="text1"/>
          <w:sz w:val="32"/>
          <w:szCs w:val="32"/>
          <w:lang w:val="en-US" w:eastAsia="zh-CN"/>
          <w14:textFill>
            <w14:solidFill>
              <w14:schemeClr w14:val="tx1"/>
            </w14:solidFill>
          </w14:textFill>
        </w:rPr>
        <w:t>　当事人主张约定的违约金过高请求予以适当减少的，人民法院应当以实际损失为基础，兼顾合同的履行情况、当事人的过错程度以及预期利益等综合因素，根据公平原则和诚实信用原则予以衡量，并作出裁决。</w:t>
      </w:r>
      <w:r>
        <w:rPr>
          <w:rFonts w:hint="eastAsia" w:ascii="仿宋" w:hAnsi="仿宋" w:eastAsia="仿宋" w:cs="仿宋"/>
          <w:color w:val="000000" w:themeColor="text1"/>
          <w:sz w:val="32"/>
          <w:szCs w:val="32"/>
          <w:lang w:val="en-US" w:eastAsia="zh-CN"/>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当事人约定的违约金超过造成损失的百分之三十的，一般可以认定为</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"http://www.xinxiang.jcy.gov.cn/jwgk/flfg/201705/javascript:SLC(21651,114)"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一百一十四条</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第二款规定的“过分高于造成的损失”。</w:t>
      </w:r>
    </w:p>
    <w:p>
      <w:pPr>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六、附则</w:t>
      </w:r>
    </w:p>
    <w:p>
      <w:pPr>
        <w:rPr>
          <w:rFonts w:hint="eastAsia" w:ascii="黑体" w:hAnsi="黑体" w:eastAsia="黑体" w:cs="黑体"/>
          <w:szCs w:val="44"/>
        </w:rPr>
      </w:pPr>
      <w:bookmarkStart w:id="29" w:name="30"/>
      <w:r>
        <w:rPr>
          <w:rFonts w:hint="eastAsia" w:ascii="仿宋" w:hAnsi="仿宋" w:eastAsia="仿宋" w:cs="仿宋"/>
          <w:color w:val="000000" w:themeColor="text1"/>
          <w:sz w:val="32"/>
          <w:szCs w:val="32"/>
          <w:lang w:val="en-US" w:eastAsia="zh-CN"/>
          <w14:textFill>
            <w14:solidFill>
              <w14:schemeClr w14:val="tx1"/>
            </w14:solidFill>
          </w14:textFill>
        </w:rPr>
        <w:t>　　第三十条</w:t>
      </w:r>
      <w:bookmarkEnd w:id="29"/>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"http://www.xinxiang.jcy.gov.cn/jwgk/flfg/201705/javascript:SLC(21651,0)"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5"/>
          <w:rFonts w:hint="eastAsia" w:ascii="仿宋" w:hAnsi="仿宋" w:eastAsia="仿宋" w:cs="仿宋"/>
          <w:color w:val="000000" w:themeColor="text1"/>
          <w:sz w:val="32"/>
          <w:szCs w:val="32"/>
          <w:lang w:val="en-US"/>
          <w14:textFill>
            <w14:solidFill>
              <w14:schemeClr w14:val="tx1"/>
            </w14:solidFill>
          </w14:textFill>
        </w:rPr>
        <w:t>合同法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施行后成立的合同发生纠纷的案件，本解释施行后尚未终审的，适用本解释；本解释施行前已经终审，当事人申请再审或者按照审判监督程序决定再审的，不适用本解释。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Algerian">
    <w:altName w:val="Charlemagne Std"/>
    <w:panose1 w:val="04020705040A02060702"/>
    <w:charset w:val="00"/>
    <w:family w:val="auto"/>
    <w:pitch w:val="default"/>
    <w:sig w:usb0="00000000" w:usb1="00000000" w:usb2="00000000" w:usb3="00000000" w:csb0="20000001" w:csb1="00000000"/>
  </w:font>
  <w:font w:name="Charlemagne Std">
    <w:panose1 w:val="04020705060702020204"/>
    <w:charset w:val="00"/>
    <w:family w:val="auto"/>
    <w:pitch w:val="default"/>
    <w:sig w:usb0="00000003" w:usb1="00000000" w:usb2="00000000" w:usb3="00000000" w:csb0="20000001" w:csb1="00000000"/>
  </w:font>
  <w:font w:name="AR BLANCA">
    <w:panose1 w:val="02000000000000000000"/>
    <w:charset w:val="00"/>
    <w:family w:val="auto"/>
    <w:pitch w:val="default"/>
    <w:sig w:usb0="8000002F" w:usb1="0000000A" w:usb2="00000000" w:usb3="00000000" w:csb0="00000001"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D7CB3"/>
    <w:rsid w:val="0EB542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800080"/>
      <w:u w:val="none"/>
    </w:rPr>
  </w:style>
  <w:style w:type="character" w:styleId="5">
    <w:name w:val="Hyperlink"/>
    <w:basedOn w:val="3"/>
    <w:uiPriority w:val="0"/>
    <w:rPr>
      <w:color w:val="4D4D4D"/>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2017-06-23T10:20:39Z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