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最高人民法院关于适用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《中华人民共和国侵权责任法》若干问题的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通知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（法发〔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2010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号）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各省、自治区、直辖市高级人民法院，解放军军事法院，新疆维吾尔自治区高级人民法院生产建设兵团分院：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中华人民共和国侵权责任法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》（以下简称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），自2010年7月1日起施行。为了正确适用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</w:t>
      </w:r>
      <w:bookmarkStart w:id="4" w:name="_GoBack"/>
      <w:bookmarkEnd w:id="4"/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，现就有关问题通知如下：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bookmarkStart w:id="0" w:name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一、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施行后发生的侵权行为引起的民事纠纷案件，适用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施行前发生的侵权行为引起的民事纠纷案件，适用当时的法律规定。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bookmarkStart w:id="1" w:name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二、</w:t>
      </w:r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侵权行为发生在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施行前，但损害后果出现在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施行后的民事纠纷案件，适用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bookmarkStart w:id="2" w:name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三、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人民法院适用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审理民事纠纷案件，根据当事人的申请或者依职权决定进行医疗损害鉴定的，按照《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"http://www.xinxiang.jcy.gov.cn/jwgk/flfg/201705/javascript:SLC(57068,0)"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全国人民代表大会常务委员会关于司法鉴定管理问题的决定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"http://www.xinxiang.jcy.gov.cn/jwgk/flfg/201705/javascript:SLC(39330,0)"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人民法院对外委托司法鉴定管理规定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》及国家有关部门的规定组织鉴定。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bookmarkStart w:id="3" w:name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四、</w:t>
      </w:r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人民法院适用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审理民事纠纷案件，如受害人有被扶养人的，应当依据《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"http://www.xinxiang.jcy.gov.cn/jwgk/flfg/201705/javascript:SLC(51002,0)"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最高人民法院关于审理人身损害赔偿案件适用法律若干问题的解释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"http://www.xinxiang.jcy.gov.cn/jwgk/flfg/201705/javascript:SLC(51002,28)"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二十八条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的规定，将被扶养人生活费计入残疾赔偿金或死亡赔偿金。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各级人民法院在适用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"http://www.xinxiang.jcy.gov.cn/jwgk/flfg/201705/javascript:SLC(125300,0)"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6CFF"/>
          <w:sz w:val="32"/>
          <w:szCs w:val="32"/>
          <w:lang w:val="en-US"/>
        </w:rPr>
        <w:t>侵权责任法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过程中遇到的其他重大问题，请及时层报我院。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中华人民共和国最高人民法院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二〇一〇年六月三十日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604EB"/>
    <w:rsid w:val="79AF5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2017-06-23T11:23:06Z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